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71" w:right="6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Публичная оферта</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57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на заключение договора аренды SAAS-аккаунта</w:t>
      </w:r>
    </w:p>
    <w:bookmarkStart w:colFirst="0" w:colLast="0" w:name="30j0zll" w:id="1"/>
    <w:bookmarkEnd w:id="1"/>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71" w:right="788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 Казань</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2" w:lineRule="auto"/>
        <w:ind w:left="5" w:right="144" w:firstLine="7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Настоящая Публичная Оферта (далее также – Оферта) – адресованное физическим и юридическим лицам публичное предложение Общества с ограниченной ответственностью «Клиентская база» (далее также – Лицензиар) заключить Лицензионный договор в соответствии с п. 2 ст. 437 Гражданского кодекса Российской Федерации.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2" w:lineRule="auto"/>
        <w:ind w:left="5" w:right="161" w:firstLine="7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Оферта считается акцептованной, а Лицензионный договор (далее также – Договор) – заключенным на условиях, указанных в настоящей Оферте, с момента совершения юридическими или физическими лицами (далее также – Лицензиатами) действий по акцепту Оферты, предусмотренных в настоящей Оферте.</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2" w:lineRule="auto"/>
        <w:ind w:left="5" w:right="156" w:firstLine="7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Актуальная версия Оферты размещена на интернет-сайте по электронному адресу: </w:t>
      </w:r>
      <w:hyperlink r:id="rId6">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https://clientbase.ru/buy/dogovor/</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41"/>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Термины и определения</w:t>
      </w:r>
    </w:p>
    <w:p w:rsidR="00000000" w:rsidDel="00000000" w:rsidP="00000000" w:rsidRDefault="00000000" w:rsidRPr="00000000" w14:paraId="0000000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11"/>
        </w:tabs>
        <w:spacing w:after="0" w:before="6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«Оферта» – публичное предложение Лицензиара, адресованное любому лицу, заключить с ним лицензионный договор (далее – Договор) на существующих условиях, содержащихся в Договоре. Лицензиар оставляет за собой право внести изменения в условия публичной Оферты или отозвать её в любой момент по своему усмотрению при обязательном письменном уведомлении Лицензиата в срок не позднее 5 (пяти) рабочих дней до момента вступления в силу изменений или отзыва публичной Оферты. В случае внесения Лицензиаром изменений в публичную Оферту такие изменения вступают в силу с момента их опубликования на сайте Лицензиара. Данный пункт действует только с учетом положений абз. 2 п. 2 ст. 310 ГК РФ.</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2" w:lineRule="auto"/>
        <w:ind w:left="737.0078740157481" w:right="0" w:hanging="566.9291338582678"/>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осуществляющий предпринимательскую деятельность, соглашается и признает, что внесение изменений в публичную Оферту влечет за собой внесение этих изменений в заключенный и действующий между Лицензиатом и Лицензиаром Договор и эти изменения в Договоре вступают в силу одновременно с вступлением в силу таких изменений в публичной Оферте. Данный пункт действует только с учетом положений абз. 2 п. 2 ст. 310 ГК РФ.</w:t>
      </w:r>
    </w:p>
    <w:p w:rsidR="00000000" w:rsidDel="00000000" w:rsidP="00000000" w:rsidRDefault="00000000" w:rsidRPr="00000000" w14:paraId="0000000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7"/>
        </w:tabs>
        <w:spacing w:after="0" w:before="5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«Акцепт» – полное и безоговорочное принятие Лицензиатом Оферты, выраженное в направлении Лицензиатом Лицензиару Заказа в порядке, установленном пунктом 4.1 настоящего Договора.</w:t>
      </w:r>
    </w:p>
    <w:p w:rsidR="00000000" w:rsidDel="00000000" w:rsidP="00000000" w:rsidRDefault="00000000" w:rsidRPr="00000000" w14:paraId="0000000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9"/>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«Программа» – программа для ЭВМ «Клиентская база», представленная на официальном интернет-сайте </w:t>
      </w:r>
      <w:hyperlink r:id="rId7">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«SaaS-версия» – версия программы для ЭВМ «Клиентская база», которая предоставляется после регистрации на сайте Лицензиара </w:t>
      </w:r>
      <w:hyperlink r:id="rId8">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 после Акцепта настоящей Оферты без скачивания дистрибутива.</w:t>
      </w:r>
    </w:p>
    <w:p w:rsidR="00000000" w:rsidDel="00000000" w:rsidP="00000000" w:rsidRDefault="00000000" w:rsidRPr="00000000" w14:paraId="0000000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 дееспособное физическое лицо, достигшее возраста 18 лет, прошедшее регистрацию на сайте </w:t>
      </w:r>
      <w:hyperlink r:id="rId9">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 заинтересованное в заключении Лицензионного договора, или юридическое лицо, созданное в соответствии с законодательством Российской Федерации, прошедшее регистрацию на сайте </w:t>
      </w:r>
      <w:hyperlink r:id="rId10">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 заинтересованное в заключении Лицензионного договора.</w:t>
      </w:r>
    </w:p>
    <w:p w:rsidR="00000000" w:rsidDel="00000000" w:rsidP="00000000" w:rsidRDefault="00000000" w:rsidRPr="00000000" w14:paraId="0000000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8"/>
        </w:tabs>
        <w:spacing w:after="0" w:before="5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«Тарифный план» – условия использования Программы и оказания Услуг, содержание предоставляемых Услуг, сгруппированные по видам. Виды тарифных</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планов</w:t>
        <w:tab/>
        <w:t xml:space="preserve">определены   на</w:t>
        <w:tab/>
        <w:t xml:space="preserve">Сайте</w:t>
        <w:tab/>
        <w:t xml:space="preserve">Лицензиара   по</w:t>
        <w:tab/>
        <w:t xml:space="preserve">адресу: </w:t>
      </w:r>
      <w:hyperlink r:id="rId11">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https://clientbase.ru/buy/account_rental/</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3"/>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Услуги – действия, указанные в п. 2.3 настоящего Договора, которые исполняются Лицензиаром в пользу Лицензиара на условиях, указанных в Тарифных планах Лицензиара.</w:t>
      </w:r>
    </w:p>
    <w:p w:rsidR="00000000" w:rsidDel="00000000" w:rsidP="00000000" w:rsidRDefault="00000000" w:rsidRPr="00000000" w14:paraId="0000001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47"/>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«Аккаунт» – средство доступа к SaaS-версии Программы посредством Сайта Лицензиара.</w:t>
      </w:r>
    </w:p>
    <w:p w:rsidR="00000000" w:rsidDel="00000000" w:rsidP="00000000" w:rsidRDefault="00000000" w:rsidRPr="00000000" w14:paraId="0000001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47"/>
        </w:tabs>
        <w:spacing w:after="0" w:before="54"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Месяц равен 30 календарным дням.</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204"/>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Предмет договора</w:t>
      </w:r>
    </w:p>
    <w:p w:rsidR="00000000" w:rsidDel="00000000" w:rsidP="00000000" w:rsidRDefault="00000000" w:rsidRPr="00000000" w14:paraId="0000001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91"/>
        </w:tabs>
        <w:spacing w:after="0" w:before="6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обязуется предоставить Лицензиату право использования SaaS–версии Программы «Клиентская база» в предусмотренных настоящим Договором пределах путем предоставления доступа к Аккаунту.</w:t>
      </w:r>
    </w:p>
    <w:p w:rsidR="00000000" w:rsidDel="00000000" w:rsidP="00000000" w:rsidRDefault="00000000" w:rsidRPr="00000000" w14:paraId="0000001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11"/>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Исключительные права на Программу принадлежат Лицензиару на основании свидетельства о государственной регистрации программы для ЭВМ № 2014614223, зарегистрированного в реестре программ для ЭВМ 18 апреля 2014 года.</w:t>
      </w:r>
    </w:p>
    <w:p w:rsidR="00000000" w:rsidDel="00000000" w:rsidP="00000000" w:rsidRDefault="00000000" w:rsidRPr="00000000" w14:paraId="0000001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43"/>
        </w:tabs>
        <w:spacing w:after="0" w:before="50"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также может оказывать Лицензиату по Заявкам Лицензиата Услуги на условиях, указанных в Тарифных планах:</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4"/>
        </w:tabs>
        <w:spacing w:after="0" w:before="55"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техническая поддержка и информационное сопровождение Программы;</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98"/>
          <w:tab w:val="left" w:leader="none" w:pos="2390"/>
          <w:tab w:val="left" w:leader="none" w:pos="4018"/>
          <w:tab w:val="left" w:leader="none" w:pos="5574"/>
          <w:tab w:val="left" w:leader="none" w:pos="6920"/>
          <w:tab w:val="left" w:leader="none" w:pos="7304"/>
          <w:tab w:val="left" w:leader="none" w:pos="8444"/>
          <w:tab w:val="left" w:leader="none" w:pos="9508"/>
        </w:tabs>
        <w:spacing w:after="0" w:before="61"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обучение</w:t>
        <w:tab/>
        <w:t xml:space="preserve">сотрудников</w:t>
        <w:tab/>
        <w:t xml:space="preserve">Лицензиата</w:t>
        <w:tab/>
        <w:t xml:space="preserve">правилам</w:t>
        <w:tab/>
        <w:t xml:space="preserve">и</w:t>
        <w:tab/>
        <w:t xml:space="preserve">порядку</w:t>
        <w:tab/>
        <w:t xml:space="preserve">работы</w:t>
        <w:tab/>
        <w:t xml:space="preserve">с Программой;</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4"/>
        </w:tabs>
        <w:spacing w:after="0" w:before="55"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настройка конфигурации по техническому заданию Лицензиата.</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4"/>
        </w:tabs>
        <w:spacing w:after="0" w:before="55" w:line="240" w:lineRule="auto"/>
        <w:ind w:left="737.0078740157481" w:right="0" w:hanging="566.9291338582678"/>
        <w:jc w:val="left"/>
        <w:rPr>
          <w:rFonts w:ascii="Arial" w:cs="Arial" w:eastAsia="Arial" w:hAnsi="Arial"/>
          <w:sz w:val="24"/>
          <w:szCs w:val="24"/>
        </w:rPr>
      </w:pPr>
      <w:r w:rsidDel="00000000" w:rsidR="00000000" w:rsidRPr="00000000">
        <w:rPr>
          <w:rtl w:val="0"/>
        </w:rPr>
      </w:r>
    </w:p>
    <w:bookmarkStart w:colFirst="0" w:colLast="0" w:name="2et92p0" w:id="4"/>
    <w:bookmarkEnd w:id="4"/>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99"/>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Права и обязанности сторон</w:t>
      </w:r>
    </w:p>
    <w:p w:rsidR="00000000" w:rsidDel="00000000" w:rsidP="00000000" w:rsidRDefault="00000000" w:rsidRPr="00000000" w14:paraId="0000001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60"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вправе:</w:t>
      </w:r>
    </w:p>
    <w:p w:rsidR="00000000" w:rsidDel="00000000" w:rsidP="00000000" w:rsidRDefault="00000000" w:rsidRPr="00000000" w14:paraId="0000001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18"/>
        </w:tabs>
        <w:spacing w:after="0" w:before="6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Осуществлять любые действия, связанные с функционированием Программы и в соответствии с ее назначением, а именно:</w:t>
      </w:r>
    </w:p>
    <w:p w:rsidR="00000000" w:rsidDel="00000000" w:rsidP="00000000" w:rsidRDefault="00000000" w:rsidRPr="00000000" w14:paraId="0000001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50"/>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работникам организации Лицензиата удаленный доступ для работы в Программе;</w:t>
      </w:r>
    </w:p>
    <w:p w:rsidR="00000000" w:rsidDel="00000000" w:rsidP="00000000" w:rsidRDefault="00000000" w:rsidRPr="00000000" w14:paraId="0000002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62"/>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доступ к информации, сформированной в результате эксплуатации Программы, с целью формирования сводных отчетов;</w:t>
      </w:r>
    </w:p>
    <w:p w:rsidR="00000000" w:rsidDel="00000000" w:rsidP="00000000" w:rsidRDefault="00000000" w:rsidRPr="00000000" w14:paraId="0000002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74"/>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использовать Программу в коммерческой деятельности, исключая случаи перепродажи, аренды или передачи Программы третьим лицам, возможные только после заключения соответствующих письменных соглашений с Лицензиаром;</w:t>
      </w:r>
    </w:p>
    <w:p w:rsidR="00000000" w:rsidDel="00000000" w:rsidP="00000000" w:rsidRDefault="00000000" w:rsidRPr="00000000" w14:paraId="0000002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38"/>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право использования Программы третьим лицам в пределах прав, установленных настоящим Договором.</w:t>
      </w:r>
    </w:p>
    <w:p w:rsidR="00000000" w:rsidDel="00000000" w:rsidP="00000000" w:rsidRDefault="00000000" w:rsidRPr="00000000" w14:paraId="0000002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2"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обязан:</w:t>
      </w:r>
    </w:p>
    <w:p w:rsidR="00000000" w:rsidDel="00000000" w:rsidP="00000000" w:rsidRDefault="00000000" w:rsidRPr="00000000" w14:paraId="0000002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91"/>
        </w:tabs>
        <w:spacing w:after="0" w:before="64"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Использовать Программу только в пределах тех прав и теми способами, которые предусмотрены п.3.1. настоящего Договора.</w:t>
      </w:r>
    </w:p>
    <w:p w:rsidR="00000000" w:rsidDel="00000000" w:rsidP="00000000" w:rsidRDefault="00000000" w:rsidRPr="00000000" w14:paraId="0000002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не вправе:</w:t>
      </w:r>
    </w:p>
    <w:p w:rsidR="00000000" w:rsidDel="00000000" w:rsidP="00000000" w:rsidRDefault="00000000" w:rsidRPr="00000000" w14:paraId="00000026">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Воспроизводить Программу, в том числе осуществлять запись в память ЭВМ;</w:t>
      </w:r>
    </w:p>
    <w:p w:rsidR="00000000" w:rsidDel="00000000" w:rsidP="00000000" w:rsidRDefault="00000000" w:rsidRPr="00000000" w14:paraId="00000027">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Модифицировать Программу;</w:t>
      </w:r>
    </w:p>
    <w:p w:rsidR="00000000" w:rsidDel="00000000" w:rsidP="00000000" w:rsidRDefault="00000000" w:rsidRPr="00000000" w14:paraId="00000028">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Распространять (копировать), осуществлять обнародование Программы;</w:t>
      </w:r>
    </w:p>
    <w:p w:rsidR="00000000" w:rsidDel="00000000" w:rsidP="00000000" w:rsidRDefault="00000000" w:rsidRPr="00000000" w14:paraId="00000029">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Распространять экземпляры Программы или её части и/или</w:t>
      </w:r>
    </w:p>
    <w:p w:rsidR="00000000" w:rsidDel="00000000" w:rsidP="00000000" w:rsidRDefault="00000000" w:rsidRPr="00000000" w14:paraId="0000002A">
      <w:pPr>
        <w:ind w:left="0" w:firstLine="0"/>
        <w:rPr>
          <w:rFonts w:ascii="Arial" w:cs="Arial" w:eastAsia="Arial" w:hAnsi="Arial"/>
          <w:sz w:val="26"/>
          <w:szCs w:val="26"/>
        </w:rPr>
      </w:pPr>
      <w:r w:rsidDel="00000000" w:rsidR="00000000" w:rsidRPr="00000000">
        <w:rPr>
          <w:rFonts w:ascii="Arial" w:cs="Arial" w:eastAsia="Arial" w:hAnsi="Arial"/>
          <w:sz w:val="24"/>
          <w:szCs w:val="24"/>
          <w:rtl w:val="0"/>
        </w:rPr>
        <w:t xml:space="preserve">осуществлять иные действия, направленные на извлечение коммерческой выгоды в отношениях с третьими лицами из использования Программы;использования Программы;</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37.0078740157481" w:right="0" w:hanging="566.9291338582678"/>
        <w:jc w:val="both"/>
        <w:rPr>
          <w:rFonts w:ascii="Arial" w:cs="Arial" w:eastAsia="Arial" w:hAnsi="Arial"/>
          <w:sz w:val="24"/>
          <w:szCs w:val="24"/>
        </w:rPr>
        <w:sectPr>
          <w:pgSz w:h="16840" w:w="11910" w:orient="portrait"/>
          <w:pgMar w:bottom="280" w:top="1020" w:left="1133" w:right="992" w:header="360" w:footer="360"/>
          <w:pgNumType w:start="1"/>
        </w:sect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06"/>
        </w:tabs>
        <w:spacing w:after="0" w:before="8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Допускать скрытие копирайта без согласия Лицензиара. Согласованное скрытие копирайта производится за отдельную плату, уплачиваемую Лицензиару. В случае несогласованного скрытия копирайта Лицензиат обязуется выплатить Лицензиару штраф в размере 25 000 рублей в течение 5 (рабочих) дней со дня предъявления Лицензиату соответствующего требования.</w:t>
      </w:r>
    </w:p>
    <w:p w:rsidR="00000000" w:rsidDel="00000000" w:rsidP="00000000" w:rsidRDefault="00000000" w:rsidRPr="00000000" w14:paraId="0000002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14"/>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Отправлять спам посредством sms- и e-mail-рассылок при нахождении на общем сервере. При фиксации 3 инцидентов рассылки спама во избежание нанесения финансового ущерба другим клиентам, находящимся на том же сервере, что и Лицензиат, Лицензиар вправе заблокировать аккаунт Лицензиата и/или перевести его на выделенный сервер (тариф Maximum).</w:t>
      </w:r>
    </w:p>
    <w:p w:rsidR="00000000" w:rsidDel="00000000" w:rsidP="00000000" w:rsidRDefault="00000000" w:rsidRPr="00000000" w14:paraId="0000002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2"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обязан:</w:t>
      </w:r>
    </w:p>
    <w:p w:rsidR="00000000" w:rsidDel="00000000" w:rsidP="00000000" w:rsidRDefault="00000000" w:rsidRPr="00000000" w14:paraId="0000002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95"/>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течение 5 (пяти) рабочих дней с момента подачи Лицензиатом Заявки в случае избрания Лицензиатом способа оплаты «Безналичная оплата» выставить надлежащий счет и при условии 100% предоплаты по данному счету в соответствии с п.4.1. настоящего Договора предоставить Лицензиату права на использование SaaS-версии Программы. Моментом передачи прав на использование SaaS-версии Программы является предоставление Лицензиату средств доступа к Аккаунту (предоставление логина и пароля).</w:t>
      </w:r>
    </w:p>
    <w:p w:rsidR="00000000" w:rsidDel="00000000" w:rsidP="00000000" w:rsidRDefault="00000000" w:rsidRPr="00000000" w14:paraId="0000003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25"/>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право использования SaaS-версии Программы ежедневно и круглосуточно за исключением времени проведения профилактических мероприятий, составляющих не более 24 часов в месяц (преимущественно в нерабочее время).</w:t>
      </w:r>
    </w:p>
    <w:p w:rsidR="00000000" w:rsidDel="00000000" w:rsidP="00000000" w:rsidRDefault="00000000" w:rsidRPr="00000000" w14:paraId="0000003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24"/>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информацию по вопросам работы с Программой посредством электронной почты и форума. Условия оказания услуг по поддержке в виде персонального консультанта, настройки и обучения работе в Программе опубликованы в свободном доступе на сайте </w:t>
      </w:r>
      <w:hyperlink r:id="rId12">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01"/>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информацию в свободном доступе на сайте </w:t>
      </w:r>
      <w:hyperlink r:id="rId13">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 обновлениях текущей версии Программы, вышедших в течение срока действия настоящего Договора.</w:t>
      </w:r>
    </w:p>
    <w:p w:rsidR="00000000" w:rsidDel="00000000" w:rsidP="00000000" w:rsidRDefault="00000000" w:rsidRPr="00000000" w14:paraId="0000003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89"/>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Устранять возможные программные сбои в работе Программы по заявке Лицензиата, за исключением случаев, предусмотренных п. 3.6, 3.7, 4.6.6. настоящего Договора.</w:t>
      </w:r>
    </w:p>
    <w:p w:rsidR="00000000" w:rsidDel="00000000" w:rsidP="00000000" w:rsidRDefault="00000000" w:rsidRPr="00000000" w14:paraId="0000003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5"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вправе:</w:t>
      </w:r>
    </w:p>
    <w:p w:rsidR="00000000" w:rsidDel="00000000" w:rsidP="00000000" w:rsidRDefault="00000000" w:rsidRPr="00000000" w14:paraId="0000003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62"/>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Расторгнуть Договор и отказать в предоставлении Лицензиату прав использования Программы на основаниях, предусмотренных настоящим Договором и действующим законодательством Российской Федерации.</w:t>
      </w:r>
    </w:p>
    <w:p w:rsidR="00000000" w:rsidDel="00000000" w:rsidP="00000000" w:rsidRDefault="00000000" w:rsidRPr="00000000" w14:paraId="0000003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1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Выпускать новые релизы и версии Программы, устанавливать условия их предоставления Лицензиату, условия технической поддержки и сопровождения.</w:t>
      </w:r>
    </w:p>
    <w:p w:rsidR="00000000" w:rsidDel="00000000" w:rsidP="00000000" w:rsidRDefault="00000000" w:rsidRPr="00000000" w14:paraId="0000003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28"/>
        </w:tabs>
        <w:spacing w:after="0" w:before="54"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Повысить Тарифный план Лицензиата при несоблюдении условий его использования (превышение допустимой нагрузки, объема памяти и т. п.). Превышение допустимой нагрузки, объема памяти Лицензиат может отслеживать в Личном кабинете SAAS-аккаунта.</w:t>
      </w:r>
    </w:p>
    <w:p w:rsidR="00000000" w:rsidDel="00000000" w:rsidP="00000000" w:rsidRDefault="00000000" w:rsidRPr="00000000" w14:paraId="0000003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2"/>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Услуги технической поддержки оказываются при условии, что Лицензиатом используется стандартная конфигурация Программы либо конфигурация, созданная для Заказчика Исполнителем в рамках стандартного функционала. Под конфигурацией понимается доступный набор функций и опций Программы. В случае, если используемая Заказчиком конфигурация была создана или изменена сторонним лицом либо Заказчиком самостоятельно, Исполнитель имеет право отказать в оказании услуг и совершить другие действия по защите своих, в том числе интеллектуальных, прав.</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2"/>
        </w:tabs>
        <w:spacing w:after="0" w:before="52" w:line="242" w:lineRule="auto"/>
        <w:ind w:left="5"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2"/>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освобождается от обязанности оказать услуги технической поддержки, если соответствующие неполадки в работе Программы вызваны необновлением Программы до последней версии по вине Заказчика, работой собственного или арендованного сервера Заказчика, а также если неполадки возникли вне периода действия настоящей Оферты и какой-либо иной технической поддержки от Лицензиара. В таких случаях все указания, полученные Заказчиком от Исполнителя, не относятся к услугам, носят рекомендательный характер и исполняются Заказчиком самостоятельно по его желанию.</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9"/>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Порядок оказания услуг и предоставления прав на программу</w:t>
      </w:r>
    </w:p>
    <w:p w:rsidR="00000000" w:rsidDel="00000000" w:rsidP="00000000" w:rsidRDefault="00000000" w:rsidRPr="00000000" w14:paraId="0000003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2"/>
        </w:tabs>
        <w:spacing w:after="0" w:before="6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подает заявку на предоставление ему SaaS–версии Программы и (при необходимости) на оказание соответствующих услуг посредством заполнения электронной формы на интернет-сайте </w:t>
      </w:r>
      <w:hyperlink r:id="rId14">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в результате чего формируется Заказ.</w:t>
      </w:r>
    </w:p>
    <w:p w:rsidR="00000000" w:rsidDel="00000000" w:rsidP="00000000" w:rsidRDefault="00000000" w:rsidRPr="00000000" w14:paraId="0000003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2"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заполнении Заказа Лицензиат указывает:</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0"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Тарифный план;</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5"/>
        </w:tabs>
        <w:spacing w:after="0" w:before="63"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учетный период приобретения Программы (из расчета, что месяц равен 30 дням);</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1"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Конфигурацию Программы (ее внешний вид и содержимое);</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4"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способ оплаты;</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0"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свое наименование;</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3"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актуальный адрес электронной почты для связи.</w:t>
      </w:r>
    </w:p>
    <w:p w:rsidR="00000000" w:rsidDel="00000000" w:rsidP="00000000" w:rsidRDefault="00000000" w:rsidRPr="00000000" w14:paraId="0000004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зависимости от указанных в соответствии с п. 4.2. настоящего Договора данных (а именно – Тарифного плана и учетного периода использования Программы) формируется стоимость вознаграждения Лицензиара, подлежащая оплате Лицензиатом на нижеприведенных условиях.</w:t>
      </w:r>
    </w:p>
    <w:p w:rsidR="00000000" w:rsidDel="00000000" w:rsidP="00000000" w:rsidRDefault="00000000" w:rsidRPr="00000000" w14:paraId="0000004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61"/>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 момента подачи Заказа в соответствии с п. 4.1. Оферта является акцептованной.</w:t>
      </w:r>
    </w:p>
    <w:p w:rsidR="00000000" w:rsidDel="00000000" w:rsidP="00000000" w:rsidRDefault="00000000" w:rsidRPr="00000000" w14:paraId="0000004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Общий порядок предоставления прав на SaaS-версию Программы:</w:t>
      </w:r>
    </w:p>
    <w:p w:rsidR="00000000" w:rsidDel="00000000" w:rsidP="00000000" w:rsidRDefault="00000000" w:rsidRPr="00000000" w14:paraId="0000004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86"/>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Право на использование SaaS-версии Программы предоставляется Лицензиату в течение 5 (пяти) рабочих дней с момента Акцепта при условии оплаты стоимости права использования Программы и оказания Услуг.</w:t>
      </w:r>
    </w:p>
    <w:p w:rsidR="00000000" w:rsidDel="00000000" w:rsidP="00000000" w:rsidRDefault="00000000" w:rsidRPr="00000000" w14:paraId="0000004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97"/>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Факт предоставления Лицензиату права на использование SaaS-версию Программы подтверждается:</w:t>
      </w:r>
    </w:p>
    <w:p w:rsidR="00000000" w:rsidDel="00000000" w:rsidP="00000000" w:rsidRDefault="00000000" w:rsidRPr="00000000" w14:paraId="0000004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3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пересылкой посредством электронной связи логина и пароля для доступа к SaaS-версии Программы;</w:t>
      </w:r>
    </w:p>
    <w:p w:rsidR="00000000" w:rsidDel="00000000" w:rsidP="00000000" w:rsidRDefault="00000000" w:rsidRPr="00000000" w14:paraId="0000004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14"/>
        </w:tabs>
        <w:spacing w:after="0" w:before="54"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подписанием Сторонами Акта передачи права использования Программы.</w:t>
      </w:r>
    </w:p>
    <w:p w:rsidR="00000000" w:rsidDel="00000000" w:rsidP="00000000" w:rsidRDefault="00000000" w:rsidRPr="00000000" w14:paraId="0000004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64"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Порядок предоставления прав на Программу SaaS-версии:</w:t>
      </w:r>
    </w:p>
    <w:p w:rsidR="00000000" w:rsidDel="00000000" w:rsidP="00000000" w:rsidRDefault="00000000" w:rsidRPr="00000000" w14:paraId="0000004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39"/>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оплате стоимости SaaS–версии Программы Лицензиар предоставляет Лицензиату доступ к Программе на постоянной основе на период действия оплаченного учетного периода. Начало очередного учетного периода исчисляется с даты предоставления доступа.</w:t>
      </w:r>
    </w:p>
    <w:p w:rsidR="00000000" w:rsidDel="00000000" w:rsidP="00000000" w:rsidRDefault="00000000" w:rsidRPr="00000000" w14:paraId="0000004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64"/>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Акт передачи права использования Программы в двух экземплярах направляется Лицензиаром почтовым отправлением в адрес Лицензиата, указанного при формировании Заказа.</w:t>
      </w:r>
    </w:p>
    <w:p w:rsidR="00000000" w:rsidDel="00000000" w:rsidP="00000000" w:rsidRDefault="00000000" w:rsidRPr="00000000" w14:paraId="0000004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89"/>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02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обязан в течение 5 (пяти) рабочих дней с момента получения Акта направить в адрес Лицензиара подписанный Акт, в случаях если Лицензиатом является юридическое лицо, оригинал Акта должен быть скреплен печатью</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2" w:lineRule="auto"/>
        <w:ind w:left="737.0078740157481" w:right="0" w:hanging="566.9291338582678"/>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юридического лица. В случае отказа от подписания акта в адрес Лицензиара направляется мотивированный письменный отказ.</w:t>
      </w:r>
    </w:p>
    <w:p w:rsidR="00000000" w:rsidDel="00000000" w:rsidP="00000000" w:rsidRDefault="00000000" w:rsidRPr="00000000" w14:paraId="0000005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5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если в течение 15 (пятнадцати) рабочих дней с момента получения Акта Лицензиатом в адрес Лицензиара не поступит подписанный Лицензиатом оригинал Акта или мотивированный отказ от его подписания, права на использование Программы считаются переданными без претензий, а односторонний Акт является подтверждением передачи. Кроме того, Лицензиар оставляет за собой право в данном случае приостановить доступ Лицензиата к SaaS–версии Программы до момента подписания Акта. В отношении Актов оказания услуг в случае оказания Услуг действует аналогичный порядок их подписания.</w:t>
      </w:r>
    </w:p>
    <w:p w:rsidR="00000000" w:rsidDel="00000000" w:rsidP="00000000" w:rsidRDefault="00000000" w:rsidRPr="00000000" w14:paraId="0000005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96"/>
        </w:tabs>
        <w:spacing w:after="0" w:before="47"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Проверка наименования, комплектации, иных данных, касающихся предоставляемых прав на использование Программы, осуществляется Лицензиатом в момент предоставления указанных прав. В случае выявления ошибок в работе Программы Лицензиат направляет Лицензиару письменную заявку. Стороны в течение 5 (пяти) рабочих дней со дня получения от Лицензиата письменной заявки с описанием сбоев в работе определяют сроки и порядок их устранения путем составления письменного соглашения.</w:t>
      </w:r>
    </w:p>
    <w:p w:rsidR="00000000" w:rsidDel="00000000" w:rsidP="00000000" w:rsidRDefault="00000000" w:rsidRPr="00000000" w14:paraId="0000005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81"/>
        </w:tabs>
        <w:spacing w:after="0" w:before="46"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Положения пунктов 4.6.5. настоящего Договора не применяются в случае несоблюдения Лицензиатом правил эксплуатации Программы, рекомендуемых Лицензиаром, либо рекомендаций Лицензиара по использованию программного обеспечения и т.п.</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01"/>
        </w:tabs>
        <w:spacing w:after="0" w:before="1"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Цена и порядок расчетов</w:t>
      </w:r>
    </w:p>
    <w:p w:rsidR="00000000" w:rsidDel="00000000" w:rsidP="00000000" w:rsidRDefault="00000000" w:rsidRPr="00000000" w14:paraId="0000005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13"/>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Стоимость права использования Программы «Клиентская база», а также стоимость оказываемых в рамках настоящего договора услуг устанавливаются в Тарифных планах и конкретизируются выставляемым Лицензиаром счетом.</w:t>
      </w:r>
    </w:p>
    <w:p w:rsidR="00000000" w:rsidDel="00000000" w:rsidP="00000000" w:rsidRDefault="00000000" w:rsidRPr="00000000" w14:paraId="000000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11"/>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Оплата по настоящему Договору осуществляется в порядке 100% предоплаты в течение 5 (пяти) рабочих дней с момента формирования Заказа и выставления Счета согласно п. 4.1. настоящего Договора.</w:t>
      </w:r>
    </w:p>
    <w:p w:rsidR="00000000" w:rsidDel="00000000" w:rsidP="00000000" w:rsidRDefault="00000000" w:rsidRPr="00000000" w14:paraId="0000005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Если полученный Лицензиатом счет не будет оплачен в указанный срок, а стоимость, указанная в Прейскуранте изменится, Лицензиат обязан оплатить новую стоимость, в противном случае Договор считается расторгнутым.</w:t>
      </w:r>
    </w:p>
    <w:p w:rsidR="00000000" w:rsidDel="00000000" w:rsidP="00000000" w:rsidRDefault="00000000" w:rsidRPr="00000000" w14:paraId="0000005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5"/>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Моментом исполнения Лицензиатом обязанностей по оплате является дата поступления денежных средств в полном объеме на расчетный счет Лицензиара. В случае поступления частичной оплаты в первую очередь денежные средства идут на оплату за право использования Программы, а оставшаяся часть идет на оплату предоставляемых по Договору услуг.</w:t>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51"/>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Лицензиату предоставляется возможность осуществить оплату по настоящему Договору посредством других платежных систем, информация о таких возможностях размещается Лицензиаром на сайте </w:t>
      </w:r>
      <w:hyperlink r:id="rId15">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либо предоставляется по запросу Лицензиата.</w:t>
      </w:r>
    </w:p>
    <w:p w:rsidR="00000000" w:rsidDel="00000000" w:rsidP="00000000" w:rsidRDefault="00000000" w:rsidRPr="00000000" w14:paraId="0000005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25"/>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Сумма вознаграждения Лицензиата за право использования Программы не облагается НДС в соответствии с пп. 26 п. 2 ст. 149 Налогового кодекса Российской Федерации.</w:t>
      </w:r>
    </w:p>
    <w:p w:rsidR="00000000" w:rsidDel="00000000" w:rsidP="00000000" w:rsidRDefault="00000000" w:rsidRPr="00000000" w14:paraId="000000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31"/>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Валютой расчетов по настоящему Договору является рубль Российской Федерации.</w:t>
      </w:r>
    </w:p>
    <w:p w:rsidR="00000000" w:rsidDel="00000000" w:rsidP="00000000" w:rsidRDefault="00000000" w:rsidRPr="00000000" w14:paraId="000000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63"/>
        </w:tabs>
        <w:spacing w:after="0" w:before="54" w:line="242"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02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досрочного прекращения действия настоящего Договора по любым причинам сумма внесенной предоплаты не подлежит возврату Лицензиату. Положения настоящего пункта распространяются в том числе на случаи оказания услуг, указанных в п.2.3.</w:t>
      </w:r>
    </w:p>
    <w:bookmarkStart w:colFirst="0" w:colLast="0" w:name="1t3h5sf" w:id="7"/>
    <w:bookmarkEnd w:id="7"/>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72"/>
        </w:tabs>
        <w:spacing w:after="0" w:before="71"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Форс-мажор</w:t>
      </w:r>
    </w:p>
    <w:p w:rsidR="00000000" w:rsidDel="00000000" w:rsidP="00000000" w:rsidRDefault="00000000" w:rsidRPr="00000000" w14:paraId="000000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21"/>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настоящем Договоре виды деятельности, препятствующие осуществлению сторонами своих функции по настоящему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10 (десяти)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усилия для скорейшей ликвидации последствий форс-мажорных обстоятельств.</w:t>
      </w:r>
    </w:p>
    <w:p w:rsidR="00000000" w:rsidDel="00000000" w:rsidP="00000000" w:rsidRDefault="00000000" w:rsidRPr="00000000" w14:paraId="000000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6"/>
        </w:tabs>
        <w:spacing w:after="0" w:before="37"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Сторона, понесшая убытки в связи с форс-мажорными обстоятельствами, может потребовать от стороны, ставшей объектом действия непреодолимой силы, документальных подтверждениий о масштабах происшедших событий, а также об их влиянии.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283"/>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Ответственность</w:t>
      </w:r>
    </w:p>
    <w:p w:rsidR="00000000" w:rsidDel="00000000" w:rsidP="00000000" w:rsidRDefault="00000000" w:rsidRPr="00000000" w14:paraId="0000006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25"/>
        </w:tabs>
        <w:spacing w:after="0" w:before="6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00000" w:rsidDel="00000000" w:rsidP="00000000" w:rsidRDefault="00000000" w:rsidRPr="00000000" w14:paraId="0000006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использует предоставленные права использования Программы на собственный риск. Лицензиар не принимает на себя ответственность за соответствие Программы цели использования.</w:t>
      </w:r>
    </w:p>
    <w:p w:rsidR="00000000" w:rsidDel="00000000" w:rsidP="00000000" w:rsidRDefault="00000000" w:rsidRPr="00000000" w14:paraId="0000006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13"/>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соглашается с тем, что никакое программное обеспечение не свободно от ошибок.</w:t>
      </w:r>
    </w:p>
    <w:p w:rsidR="00000000" w:rsidDel="00000000" w:rsidP="00000000" w:rsidRDefault="00000000" w:rsidRPr="00000000" w14:paraId="0000006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не несет ответственности:</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66"/>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любые действия Лицензиата, связанные с использованием предоставленных прависпользования Программы;</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4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ущерб любого рода, понесенный Лицензиатом из-за утери и/или разглашения своих данных, необходимых для доступа к Программе;</w:t>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06"/>
        </w:tabs>
        <w:spacing w:after="0" w:before="56"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качество сервисов (в частности, сервисов передачи данных), необходимых для работы с Программой, если их организуют третьи лица, не привлекаемые Лицензиаром.</w:t>
      </w:r>
    </w:p>
    <w:p w:rsidR="00000000" w:rsidDel="00000000" w:rsidP="00000000" w:rsidRDefault="00000000" w:rsidRPr="00000000" w14:paraId="0000006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7"/>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соглашается с тем, что для работы с Программой Лицензиату необходимо использовать программное обеспечение (веб-браузеры, операционные системы и прочее) и оборудование (персональные компьютеры, сетевое оборудование и прочее), произведенное и предоставленное третьими лицами, и Лицензиар не может нести ответственность за качество их работы.</w:t>
      </w:r>
    </w:p>
    <w:p w:rsidR="00000000" w:rsidDel="00000000" w:rsidP="00000000" w:rsidRDefault="00000000" w:rsidRPr="00000000" w14:paraId="0000006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2"/>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обеспечивает базовую информационную безопасность данных Лицензиата в пределах, определяемых в порядке, предусмотренном действующим законодательством РФ.</w:t>
      </w:r>
    </w:p>
    <w:p w:rsidR="00000000" w:rsidDel="00000000" w:rsidP="00000000" w:rsidRDefault="00000000" w:rsidRPr="00000000" w14:paraId="0000006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83"/>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36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обеспечивает резервное копирование данных и архивное хранение данных Лицензиата в течение всего срока действия Договора. Резервное копирование данных производится каждый календарный день.</w:t>
      </w:r>
    </w:p>
    <w:p w:rsidR="00000000" w:rsidDel="00000000" w:rsidP="00000000" w:rsidRDefault="00000000" w:rsidRPr="00000000" w14:paraId="000000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91"/>
        </w:tabs>
        <w:spacing w:after="0" w:before="8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если потеря данных произошла по вине Лицензиара, он принимает все необходимые меры для восстановления данных в течение 3-х рабочих дней.</w:t>
      </w:r>
    </w:p>
    <w:p w:rsidR="00000000" w:rsidDel="00000000" w:rsidP="00000000" w:rsidRDefault="00000000" w:rsidRPr="00000000" w14:paraId="0000006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3"/>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если потеря данных была вызвана действиями Лицензиата, восстановление данных производится по запросу, направляемому Лицензиару. Восстановление данных производится только при условии наличия технической возможности.</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386"/>
        </w:tabs>
        <w:spacing w:after="0" w:before="1"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Срок действия и порядок расторжения договора</w:t>
      </w:r>
    </w:p>
    <w:p w:rsidR="00000000" w:rsidDel="00000000" w:rsidP="00000000" w:rsidRDefault="00000000" w:rsidRPr="00000000" w14:paraId="0000007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71"/>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Договор вступает в силу с момента Акцепта и действует в течение учетного периода, указанного Лицензиатом в Заявке.</w:t>
      </w:r>
    </w:p>
    <w:p w:rsidR="00000000" w:rsidDel="00000000" w:rsidP="00000000" w:rsidRDefault="00000000" w:rsidRPr="00000000" w14:paraId="0000007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7"/>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Действие Договора продлевается на очередной учетный период, если ни одна из Сторон не позднее чем за 30 (тридцать) календарных дней не выразила намерения не продлевать Договор, направив другой Стороне уведомление электронной почтой.</w:t>
      </w:r>
    </w:p>
    <w:p w:rsidR="00000000" w:rsidDel="00000000" w:rsidP="00000000" w:rsidRDefault="00000000" w:rsidRPr="00000000" w14:paraId="0000007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33"/>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Все споры и разногласия решаются путем переговоров. В случае если разногласия и споры не могут быть решены путем переговоров, их рассмотрение передается в Арбитражный суд Республики Татарстан (для юридических лиц) и в суды общей юрисдикции г. Казани (для физических лиц).</w:t>
      </w:r>
    </w:p>
    <w:p w:rsidR="00000000" w:rsidDel="00000000" w:rsidP="00000000" w:rsidRDefault="00000000" w:rsidRPr="00000000" w14:paraId="0000007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5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прекращения Договора вся размещаемая на сайте информация, персональные данные Лицензиата и связанные с ней файлы физически уничтожаются с носителей Лицензиара.</w:t>
      </w:r>
    </w:p>
    <w:p w:rsidR="00000000" w:rsidDel="00000000" w:rsidP="00000000" w:rsidRDefault="00000000" w:rsidRPr="00000000" w14:paraId="0000007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79"/>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Любая из Сторон вправе в одностороннем порядке в любое время отказаться от исполнения настоящего договора, предупредив другую Сторону за 10 (десять) рабочих дней до предполагаемой даты одностороннего отказа. Уведомление об одностороннем отказе от договора направляется в письменной форме.</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23"/>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Персональные данные</w:t>
      </w:r>
    </w:p>
    <w:p w:rsidR="00000000" w:rsidDel="00000000" w:rsidP="00000000" w:rsidRDefault="00000000" w:rsidRPr="00000000" w14:paraId="000000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9"/>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собирает и обрабатывает персональные данные Лицензиата (а именно: фамилия, имя, отчество; адрес регистрации, номер основного документа, удостоверяющего его личность, сведения о дате выдачи указанного документа и выдавшем органе, почтовый адрес (включая индекс), адрес электронной почты контактные телефоны в целях:</w:t>
      </w:r>
    </w:p>
    <w:p w:rsidR="00000000" w:rsidDel="00000000" w:rsidP="00000000" w:rsidRDefault="00000000" w:rsidRPr="00000000" w14:paraId="0000007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4"/>
        </w:tabs>
        <w:spacing w:after="0" w:before="52"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выполнения условий настоящего Договора;</w:t>
      </w:r>
    </w:p>
    <w:p w:rsidR="00000000" w:rsidDel="00000000" w:rsidP="00000000" w:rsidRDefault="00000000" w:rsidRPr="00000000" w14:paraId="0000007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4"/>
        </w:tabs>
        <w:spacing w:after="0" w:before="61"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соблюдения требования ФЗ «О персональных данных».</w:t>
      </w:r>
    </w:p>
    <w:p w:rsidR="00000000" w:rsidDel="00000000" w:rsidP="00000000" w:rsidRDefault="00000000" w:rsidRPr="00000000" w14:paraId="000000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39"/>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при осуществление передачи права на программу получает согласие от Лицензиата на сбор и обработку персональных данных о Лицензиате в целях исполнения условий настоящего Договора, а также информирование Лицензиата о проходящих рекламных акциях и спец. предложениях на протяжении всего учетного времени.</w:t>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2"/>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в свою очередь дает согласие Лицензиару на сбор и обработку персональных данных.</w:t>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6"/>
        </w:tabs>
        <w:spacing w:after="0" w:before="56"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сборе и обработке персональных данных Лицензиат и Лицензиар не преследует иных целей, кроме установленных в п. 9.1. настоящего Договора.</w:t>
      </w:r>
    </w:p>
    <w:p w:rsidR="00000000" w:rsidDel="00000000" w:rsidP="00000000" w:rsidRDefault="00000000" w:rsidRPr="00000000" w14:paraId="0000007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77"/>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Доступ к персональным данным имеют лица, непосредственно осуществляющие обработку персональных данных Пользователя и/или Лицензиата по выставлению счетов, и служба технической поддержки Лицензиара.</w:t>
      </w:r>
    </w:p>
    <w:p w:rsidR="00000000" w:rsidDel="00000000" w:rsidP="00000000" w:rsidRDefault="00000000" w:rsidRPr="00000000" w14:paraId="0000007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02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обязуется:</w:t>
      </w:r>
    </w:p>
    <w:p w:rsidR="00000000" w:rsidDel="00000000" w:rsidP="00000000" w:rsidRDefault="00000000" w:rsidRPr="00000000" w14:paraId="0000008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78"/>
          <w:tab w:val="left" w:leader="none" w:pos="2508"/>
          <w:tab w:val="left" w:leader="none" w:pos="5140"/>
          <w:tab w:val="left" w:leader="none" w:pos="5500"/>
          <w:tab w:val="left" w:leader="none" w:pos="6960"/>
          <w:tab w:val="left" w:leader="none" w:pos="8800"/>
        </w:tabs>
        <w:spacing w:after="0" w:before="83"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соблюдать</w:t>
        <w:tab/>
        <w:t xml:space="preserve">конфиденциальность</w:t>
        <w:tab/>
        <w:t xml:space="preserve">в</w:t>
        <w:tab/>
        <w:t xml:space="preserve">отношении</w:t>
        <w:tab/>
        <w:t xml:space="preserve">персональных</w:t>
        <w:tab/>
        <w:t xml:space="preserve">данных Пользователей и/или Лицензиата;</w:t>
      </w:r>
    </w:p>
    <w:p w:rsidR="00000000" w:rsidDel="00000000" w:rsidP="00000000" w:rsidRDefault="00000000" w:rsidRPr="00000000" w14:paraId="0000008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54"/>
        </w:tabs>
        <w:spacing w:after="0" w:before="53"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не допускать попытки несанкционированного использования персональных данных Пользователей и/или Лицензиата третьими лицами;</w:t>
      </w:r>
    </w:p>
    <w:p w:rsidR="00000000" w:rsidDel="00000000" w:rsidP="00000000" w:rsidRDefault="00000000" w:rsidRPr="00000000" w14:paraId="0000008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24"/>
          <w:tab w:val="left" w:leader="none" w:pos="2406"/>
          <w:tab w:val="left" w:leader="none" w:pos="3458"/>
          <w:tab w:val="left" w:leader="none" w:pos="3872"/>
          <w:tab w:val="left" w:leader="none" w:pos="5826"/>
          <w:tab w:val="left" w:leader="none" w:pos="7004"/>
          <w:tab w:val="left" w:leader="none" w:pos="9030"/>
        </w:tabs>
        <w:spacing w:after="0" w:before="55"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исключить</w:t>
        <w:tab/>
        <w:t xml:space="preserve">доступ</w:t>
        <w:tab/>
        <w:t xml:space="preserve">к</w:t>
        <w:tab/>
        <w:t xml:space="preserve">персональным</w:t>
        <w:tab/>
        <w:t xml:space="preserve">данным</w:t>
        <w:tab/>
        <w:t xml:space="preserve">Пользователей</w:t>
        <w:tab/>
        <w:t xml:space="preserve">и/или Лицензиата лиц, не имеющих непосредственного отношения к исполнению Заявок.</w:t>
      </w:r>
    </w:p>
    <w:sectPr>
      <w:type w:val="nextPage"/>
      <w:pgSz w:h="16840" w:w="11910" w:orient="portrait"/>
      <w:pgMar w:bottom="280" w:top="1020" w:left="1133" w:right="992"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5" w:hanging="526"/>
      </w:pPr>
      <w:rPr/>
    </w:lvl>
    <w:lvl w:ilvl="1">
      <w:start w:val="2"/>
      <w:numFmt w:val="decimal"/>
      <w:lvlText w:val="%1.%2."/>
      <w:lvlJc w:val="left"/>
      <w:pPr>
        <w:ind w:left="5" w:hanging="526"/>
      </w:pPr>
      <w:rPr>
        <w:rFonts w:ascii="Helvetica Neue" w:cs="Helvetica Neue" w:eastAsia="Helvetica Neue" w:hAnsi="Helvetica Neue"/>
        <w:b w:val="0"/>
        <w:i w:val="0"/>
        <w:sz w:val="24"/>
        <w:szCs w:val="24"/>
      </w:rPr>
    </w:lvl>
    <w:lvl w:ilvl="2">
      <w:start w:val="0"/>
      <w:numFmt w:val="bullet"/>
      <w:lvlText w:val="–"/>
      <w:lvlJc w:val="left"/>
      <w:pPr>
        <w:ind w:left="5" w:hanging="364"/>
      </w:pPr>
      <w:rPr>
        <w:rFonts w:ascii="Helvetica Neue" w:cs="Helvetica Neue" w:eastAsia="Helvetica Neue" w:hAnsi="Helvetica Neue"/>
        <w:b w:val="0"/>
        <w:i w:val="0"/>
        <w:sz w:val="24"/>
        <w:szCs w:val="24"/>
      </w:rPr>
    </w:lvl>
    <w:lvl w:ilvl="3">
      <w:start w:val="0"/>
      <w:numFmt w:val="bullet"/>
      <w:lvlText w:val="•"/>
      <w:lvlJc w:val="left"/>
      <w:pPr>
        <w:ind w:left="2934" w:hanging="364"/>
      </w:pPr>
      <w:rPr/>
    </w:lvl>
    <w:lvl w:ilvl="4">
      <w:start w:val="0"/>
      <w:numFmt w:val="bullet"/>
      <w:lvlText w:val="•"/>
      <w:lvlJc w:val="left"/>
      <w:pPr>
        <w:ind w:left="3912" w:hanging="364"/>
      </w:pPr>
      <w:rPr/>
    </w:lvl>
    <w:lvl w:ilvl="5">
      <w:start w:val="0"/>
      <w:numFmt w:val="bullet"/>
      <w:lvlText w:val="•"/>
      <w:lvlJc w:val="left"/>
      <w:pPr>
        <w:ind w:left="4890" w:hanging="364"/>
      </w:pPr>
      <w:rPr/>
    </w:lvl>
    <w:lvl w:ilvl="6">
      <w:start w:val="0"/>
      <w:numFmt w:val="bullet"/>
      <w:lvlText w:val="•"/>
      <w:lvlJc w:val="left"/>
      <w:pPr>
        <w:ind w:left="5868" w:hanging="364"/>
      </w:pPr>
      <w:rPr/>
    </w:lvl>
    <w:lvl w:ilvl="7">
      <w:start w:val="0"/>
      <w:numFmt w:val="bullet"/>
      <w:lvlText w:val="•"/>
      <w:lvlJc w:val="left"/>
      <w:pPr>
        <w:ind w:left="6846" w:hanging="364"/>
      </w:pPr>
      <w:rPr/>
    </w:lvl>
    <w:lvl w:ilvl="8">
      <w:start w:val="0"/>
      <w:numFmt w:val="bullet"/>
      <w:lvlText w:val="•"/>
      <w:lvlJc w:val="left"/>
      <w:pPr>
        <w:ind w:left="7824" w:hanging="364"/>
      </w:pPr>
      <w:rPr/>
    </w:lvl>
  </w:abstractNum>
  <w:abstractNum w:abstractNumId="2">
    <w:lvl w:ilvl="0">
      <w:start w:val="9"/>
      <w:numFmt w:val="decimal"/>
      <w:lvlText w:val="%1"/>
      <w:lvlJc w:val="left"/>
      <w:pPr>
        <w:ind w:left="5" w:hanging="406"/>
      </w:pPr>
      <w:rPr/>
    </w:lvl>
    <w:lvl w:ilvl="1">
      <w:start w:val="1"/>
      <w:numFmt w:val="decimal"/>
      <w:lvlText w:val="%1.%2"/>
      <w:lvlJc w:val="left"/>
      <w:pPr>
        <w:ind w:left="5" w:hanging="406"/>
      </w:pPr>
      <w:rPr>
        <w:rFonts w:ascii="Helvetica Neue" w:cs="Helvetica Neue" w:eastAsia="Helvetica Neue" w:hAnsi="Helvetica Neue"/>
        <w:b w:val="0"/>
        <w:i w:val="0"/>
        <w:sz w:val="24"/>
        <w:szCs w:val="24"/>
      </w:rPr>
    </w:lvl>
    <w:lvl w:ilvl="2">
      <w:start w:val="0"/>
      <w:numFmt w:val="bullet"/>
      <w:lvlText w:val="–"/>
      <w:lvlJc w:val="left"/>
      <w:pPr>
        <w:ind w:left="915" w:hanging="200"/>
      </w:pPr>
      <w:rPr>
        <w:rFonts w:ascii="Helvetica Neue" w:cs="Helvetica Neue" w:eastAsia="Helvetica Neue" w:hAnsi="Helvetica Neue"/>
        <w:b w:val="0"/>
        <w:i w:val="0"/>
        <w:sz w:val="24"/>
        <w:szCs w:val="24"/>
      </w:rPr>
    </w:lvl>
    <w:lvl w:ilvl="3">
      <w:start w:val="0"/>
      <w:numFmt w:val="bullet"/>
      <w:lvlText w:val="•"/>
      <w:lvlJc w:val="left"/>
      <w:pPr>
        <w:ind w:left="2889" w:hanging="200"/>
      </w:pPr>
      <w:rPr/>
    </w:lvl>
    <w:lvl w:ilvl="4">
      <w:start w:val="0"/>
      <w:numFmt w:val="bullet"/>
      <w:lvlText w:val="•"/>
      <w:lvlJc w:val="left"/>
      <w:pPr>
        <w:ind w:left="3873" w:hanging="200"/>
      </w:pPr>
      <w:rPr/>
    </w:lvl>
    <w:lvl w:ilvl="5">
      <w:start w:val="0"/>
      <w:numFmt w:val="bullet"/>
      <w:lvlText w:val="•"/>
      <w:lvlJc w:val="left"/>
      <w:pPr>
        <w:ind w:left="4858" w:hanging="200"/>
      </w:pPr>
      <w:rPr/>
    </w:lvl>
    <w:lvl w:ilvl="6">
      <w:start w:val="0"/>
      <w:numFmt w:val="bullet"/>
      <w:lvlText w:val="•"/>
      <w:lvlJc w:val="left"/>
      <w:pPr>
        <w:ind w:left="5842" w:hanging="200"/>
      </w:pPr>
      <w:rPr/>
    </w:lvl>
    <w:lvl w:ilvl="7">
      <w:start w:val="0"/>
      <w:numFmt w:val="bullet"/>
      <w:lvlText w:val="•"/>
      <w:lvlJc w:val="left"/>
      <w:pPr>
        <w:ind w:left="6827" w:hanging="200"/>
      </w:pPr>
      <w:rPr/>
    </w:lvl>
    <w:lvl w:ilvl="8">
      <w:start w:val="0"/>
      <w:numFmt w:val="bullet"/>
      <w:lvlText w:val="•"/>
      <w:lvlJc w:val="left"/>
      <w:pPr>
        <w:ind w:left="7811" w:hanging="200"/>
      </w:pPr>
      <w:rPr/>
    </w:lvl>
  </w:abstractNum>
  <w:abstractNum w:abstractNumId="3">
    <w:lvl w:ilvl="0">
      <w:start w:val="0"/>
      <w:numFmt w:val="bullet"/>
      <w:lvlText w:val="–"/>
      <w:lvlJc w:val="left"/>
      <w:pPr>
        <w:ind w:left="5" w:hanging="452"/>
      </w:pPr>
      <w:rPr>
        <w:rFonts w:ascii="Helvetica Neue" w:cs="Helvetica Neue" w:eastAsia="Helvetica Neue" w:hAnsi="Helvetica Neue"/>
        <w:b w:val="0"/>
        <w:i w:val="0"/>
        <w:sz w:val="24"/>
        <w:szCs w:val="24"/>
      </w:rPr>
    </w:lvl>
    <w:lvl w:ilvl="1">
      <w:start w:val="0"/>
      <w:numFmt w:val="bullet"/>
      <w:lvlText w:val="•"/>
      <w:lvlJc w:val="left"/>
      <w:pPr>
        <w:ind w:left="978" w:hanging="452"/>
      </w:pPr>
      <w:rPr/>
    </w:lvl>
    <w:lvl w:ilvl="2">
      <w:start w:val="0"/>
      <w:numFmt w:val="bullet"/>
      <w:lvlText w:val="•"/>
      <w:lvlJc w:val="left"/>
      <w:pPr>
        <w:ind w:left="1956" w:hanging="452.0000000000002"/>
      </w:pPr>
      <w:rPr/>
    </w:lvl>
    <w:lvl w:ilvl="3">
      <w:start w:val="0"/>
      <w:numFmt w:val="bullet"/>
      <w:lvlText w:val="•"/>
      <w:lvlJc w:val="left"/>
      <w:pPr>
        <w:ind w:left="2934" w:hanging="452"/>
      </w:pPr>
      <w:rPr/>
    </w:lvl>
    <w:lvl w:ilvl="4">
      <w:start w:val="0"/>
      <w:numFmt w:val="bullet"/>
      <w:lvlText w:val="•"/>
      <w:lvlJc w:val="left"/>
      <w:pPr>
        <w:ind w:left="3912" w:hanging="452"/>
      </w:pPr>
      <w:rPr/>
    </w:lvl>
    <w:lvl w:ilvl="5">
      <w:start w:val="0"/>
      <w:numFmt w:val="bullet"/>
      <w:lvlText w:val="•"/>
      <w:lvlJc w:val="left"/>
      <w:pPr>
        <w:ind w:left="4890" w:hanging="452"/>
      </w:pPr>
      <w:rPr/>
    </w:lvl>
    <w:lvl w:ilvl="6">
      <w:start w:val="0"/>
      <w:numFmt w:val="bullet"/>
      <w:lvlText w:val="•"/>
      <w:lvlJc w:val="left"/>
      <w:pPr>
        <w:ind w:left="5868" w:hanging="452.0000000000009"/>
      </w:pPr>
      <w:rPr/>
    </w:lvl>
    <w:lvl w:ilvl="7">
      <w:start w:val="0"/>
      <w:numFmt w:val="bullet"/>
      <w:lvlText w:val="•"/>
      <w:lvlJc w:val="left"/>
      <w:pPr>
        <w:ind w:left="6846" w:hanging="452"/>
      </w:pPr>
      <w:rPr/>
    </w:lvl>
    <w:lvl w:ilvl="8">
      <w:start w:val="0"/>
      <w:numFmt w:val="bullet"/>
      <w:lvlText w:val="•"/>
      <w:lvlJc w:val="left"/>
      <w:pPr>
        <w:ind w:left="7824" w:hanging="452.0000000000009"/>
      </w:pPr>
      <w:rPr/>
    </w:lvl>
  </w:abstractNum>
  <w:abstractNum w:abstractNumId="4">
    <w:lvl w:ilvl="0">
      <w:start w:val="0"/>
      <w:numFmt w:val="bullet"/>
      <w:lvlText w:val="–"/>
      <w:lvlJc w:val="left"/>
      <w:pPr>
        <w:ind w:left="915" w:hanging="200"/>
      </w:pPr>
      <w:rPr>
        <w:rFonts w:ascii="Helvetica Neue" w:cs="Helvetica Neue" w:eastAsia="Helvetica Neue" w:hAnsi="Helvetica Neue"/>
        <w:b w:val="0"/>
        <w:i w:val="0"/>
        <w:sz w:val="24"/>
        <w:szCs w:val="24"/>
      </w:rPr>
    </w:lvl>
    <w:lvl w:ilvl="1">
      <w:start w:val="0"/>
      <w:numFmt w:val="bullet"/>
      <w:lvlText w:val="•"/>
      <w:lvlJc w:val="left"/>
      <w:pPr>
        <w:ind w:left="1806" w:hanging="200"/>
      </w:pPr>
      <w:rPr/>
    </w:lvl>
    <w:lvl w:ilvl="2">
      <w:start w:val="0"/>
      <w:numFmt w:val="bullet"/>
      <w:lvlText w:val="•"/>
      <w:lvlJc w:val="left"/>
      <w:pPr>
        <w:ind w:left="2692" w:hanging="200"/>
      </w:pPr>
      <w:rPr/>
    </w:lvl>
    <w:lvl w:ilvl="3">
      <w:start w:val="0"/>
      <w:numFmt w:val="bullet"/>
      <w:lvlText w:val="•"/>
      <w:lvlJc w:val="left"/>
      <w:pPr>
        <w:ind w:left="3578" w:hanging="200"/>
      </w:pPr>
      <w:rPr/>
    </w:lvl>
    <w:lvl w:ilvl="4">
      <w:start w:val="0"/>
      <w:numFmt w:val="bullet"/>
      <w:lvlText w:val="•"/>
      <w:lvlJc w:val="left"/>
      <w:pPr>
        <w:ind w:left="4464" w:hanging="200"/>
      </w:pPr>
      <w:rPr/>
    </w:lvl>
    <w:lvl w:ilvl="5">
      <w:start w:val="0"/>
      <w:numFmt w:val="bullet"/>
      <w:lvlText w:val="•"/>
      <w:lvlJc w:val="left"/>
      <w:pPr>
        <w:ind w:left="5350" w:hanging="200"/>
      </w:pPr>
      <w:rPr/>
    </w:lvl>
    <w:lvl w:ilvl="6">
      <w:start w:val="0"/>
      <w:numFmt w:val="bullet"/>
      <w:lvlText w:val="•"/>
      <w:lvlJc w:val="left"/>
      <w:pPr>
        <w:ind w:left="6236" w:hanging="200"/>
      </w:pPr>
      <w:rPr/>
    </w:lvl>
    <w:lvl w:ilvl="7">
      <w:start w:val="0"/>
      <w:numFmt w:val="bullet"/>
      <w:lvlText w:val="•"/>
      <w:lvlJc w:val="left"/>
      <w:pPr>
        <w:ind w:left="7122" w:hanging="200"/>
      </w:pPr>
      <w:rPr/>
    </w:lvl>
    <w:lvl w:ilvl="8">
      <w:start w:val="0"/>
      <w:numFmt w:val="bullet"/>
      <w:lvlText w:val="•"/>
      <w:lvlJc w:val="left"/>
      <w:pPr>
        <w:ind w:left="8008" w:hanging="200"/>
      </w:pPr>
      <w:rPr/>
    </w:lvl>
  </w:abstractNum>
  <w:abstractNum w:abstractNumId="5">
    <w:lvl w:ilvl="0">
      <w:start w:val="0"/>
      <w:numFmt w:val="bullet"/>
      <w:lvlText w:val="–"/>
      <w:lvlJc w:val="left"/>
      <w:pPr>
        <w:ind w:left="5" w:hanging="200"/>
      </w:pPr>
      <w:rPr>
        <w:rFonts w:ascii="Helvetica Neue" w:cs="Helvetica Neue" w:eastAsia="Helvetica Neue" w:hAnsi="Helvetica Neue"/>
        <w:b w:val="0"/>
        <w:i w:val="0"/>
        <w:sz w:val="24"/>
        <w:szCs w:val="24"/>
      </w:rPr>
    </w:lvl>
    <w:lvl w:ilvl="1">
      <w:start w:val="0"/>
      <w:numFmt w:val="bullet"/>
      <w:lvlText w:val="•"/>
      <w:lvlJc w:val="left"/>
      <w:pPr>
        <w:ind w:left="978" w:hanging="200"/>
      </w:pPr>
      <w:rPr/>
    </w:lvl>
    <w:lvl w:ilvl="2">
      <w:start w:val="0"/>
      <w:numFmt w:val="bullet"/>
      <w:lvlText w:val="•"/>
      <w:lvlJc w:val="left"/>
      <w:pPr>
        <w:ind w:left="1956" w:hanging="200"/>
      </w:pPr>
      <w:rPr/>
    </w:lvl>
    <w:lvl w:ilvl="3">
      <w:start w:val="0"/>
      <w:numFmt w:val="bullet"/>
      <w:lvlText w:val="•"/>
      <w:lvlJc w:val="left"/>
      <w:pPr>
        <w:ind w:left="2934" w:hanging="200"/>
      </w:pPr>
      <w:rPr/>
    </w:lvl>
    <w:lvl w:ilvl="4">
      <w:start w:val="0"/>
      <w:numFmt w:val="bullet"/>
      <w:lvlText w:val="•"/>
      <w:lvlJc w:val="left"/>
      <w:pPr>
        <w:ind w:left="3912" w:hanging="200"/>
      </w:pPr>
      <w:rPr/>
    </w:lvl>
    <w:lvl w:ilvl="5">
      <w:start w:val="0"/>
      <w:numFmt w:val="bullet"/>
      <w:lvlText w:val="•"/>
      <w:lvlJc w:val="left"/>
      <w:pPr>
        <w:ind w:left="4890" w:hanging="200"/>
      </w:pPr>
      <w:rPr/>
    </w:lvl>
    <w:lvl w:ilvl="6">
      <w:start w:val="0"/>
      <w:numFmt w:val="bullet"/>
      <w:lvlText w:val="•"/>
      <w:lvlJc w:val="left"/>
      <w:pPr>
        <w:ind w:left="5868" w:hanging="200"/>
      </w:pPr>
      <w:rPr/>
    </w:lvl>
    <w:lvl w:ilvl="7">
      <w:start w:val="0"/>
      <w:numFmt w:val="bullet"/>
      <w:lvlText w:val="•"/>
      <w:lvlJc w:val="left"/>
      <w:pPr>
        <w:ind w:left="6846" w:hanging="200"/>
      </w:pPr>
      <w:rPr/>
    </w:lvl>
    <w:lvl w:ilvl="8">
      <w:start w:val="0"/>
      <w:numFmt w:val="bullet"/>
      <w:lvlText w:val="•"/>
      <w:lvlJc w:val="left"/>
      <w:pPr>
        <w:ind w:left="7824" w:hanging="200"/>
      </w:pPr>
      <w:rPr/>
    </w:lvl>
  </w:abstractNum>
  <w:abstractNum w:abstractNumId="6">
    <w:lvl w:ilvl="0">
      <w:start w:val="1"/>
      <w:numFmt w:val="decimal"/>
      <w:lvlText w:val="%1."/>
      <w:lvlJc w:val="left"/>
      <w:pPr>
        <w:ind w:left="3843" w:hanging="268"/>
      </w:pPr>
      <w:rPr>
        <w:rFonts w:ascii="Helvetica Neue" w:cs="Helvetica Neue" w:eastAsia="Helvetica Neue" w:hAnsi="Helvetica Neue"/>
        <w:b w:val="0"/>
        <w:i w:val="0"/>
        <w:sz w:val="24"/>
        <w:szCs w:val="24"/>
      </w:rPr>
    </w:lvl>
    <w:lvl w:ilvl="1">
      <w:start w:val="1"/>
      <w:numFmt w:val="decimal"/>
      <w:lvlText w:val="%1.%2."/>
      <w:lvlJc w:val="left"/>
      <w:pPr>
        <w:ind w:left="5" w:hanging="498"/>
      </w:pPr>
      <w:rPr>
        <w:rFonts w:ascii="Rubik" w:cs="Rubik" w:eastAsia="Rubik" w:hAnsi="Rubik"/>
        <w:b w:val="0"/>
        <w:i w:val="0"/>
        <w:sz w:val="24"/>
        <w:szCs w:val="24"/>
      </w:rPr>
    </w:lvl>
    <w:lvl w:ilvl="2">
      <w:start w:val="1"/>
      <w:numFmt w:val="decimal"/>
      <w:lvlText w:val="%1.%2.%3."/>
      <w:lvlJc w:val="left"/>
      <w:pPr>
        <w:ind w:left="5" w:hanging="806"/>
      </w:pPr>
      <w:rPr>
        <w:rFonts w:ascii="Helvetica Neue" w:cs="Helvetica Neue" w:eastAsia="Helvetica Neue" w:hAnsi="Helvetica Neue"/>
        <w:b w:val="0"/>
        <w:i w:val="0"/>
        <w:sz w:val="24"/>
        <w:szCs w:val="24"/>
      </w:rPr>
    </w:lvl>
    <w:lvl w:ilvl="3">
      <w:start w:val="0"/>
      <w:numFmt w:val="bullet"/>
      <w:lvlText w:val="–"/>
      <w:lvlJc w:val="left"/>
      <w:pPr>
        <w:ind w:left="5" w:hanging="236"/>
      </w:pPr>
      <w:rPr>
        <w:rFonts w:ascii="Helvetica Neue" w:cs="Helvetica Neue" w:eastAsia="Helvetica Neue" w:hAnsi="Helvetica Neue"/>
        <w:b w:val="0"/>
        <w:i w:val="0"/>
        <w:sz w:val="24"/>
        <w:szCs w:val="24"/>
      </w:rPr>
    </w:lvl>
    <w:lvl w:ilvl="4">
      <w:start w:val="0"/>
      <w:numFmt w:val="bullet"/>
      <w:lvlText w:val="•"/>
      <w:lvlJc w:val="left"/>
      <w:pPr>
        <w:ind w:left="4688" w:hanging="236"/>
      </w:pPr>
      <w:rPr/>
    </w:lvl>
    <w:lvl w:ilvl="5">
      <w:start w:val="0"/>
      <w:numFmt w:val="bullet"/>
      <w:lvlText w:val="•"/>
      <w:lvlJc w:val="left"/>
      <w:pPr>
        <w:ind w:left="5537" w:hanging="236"/>
      </w:pPr>
      <w:rPr/>
    </w:lvl>
    <w:lvl w:ilvl="6">
      <w:start w:val="0"/>
      <w:numFmt w:val="bullet"/>
      <w:lvlText w:val="•"/>
      <w:lvlJc w:val="left"/>
      <w:pPr>
        <w:ind w:left="6386" w:hanging="236"/>
      </w:pPr>
      <w:rPr/>
    </w:lvl>
    <w:lvl w:ilvl="7">
      <w:start w:val="0"/>
      <w:numFmt w:val="bullet"/>
      <w:lvlText w:val="•"/>
      <w:lvlJc w:val="left"/>
      <w:pPr>
        <w:ind w:left="7234" w:hanging="236"/>
      </w:pPr>
      <w:rPr/>
    </w:lvl>
    <w:lvl w:ilvl="8">
      <w:start w:val="0"/>
      <w:numFmt w:val="bullet"/>
      <w:lvlText w:val="•"/>
      <w:lvlJc w:val="left"/>
      <w:pPr>
        <w:ind w:left="8083" w:hanging="236.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docVars/>
  <w:updateFields w:val="true"/>
  <w:docVar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lientbase.ru/buy/account_rental/" TargetMode="External"/><Relationship Id="rId10" Type="http://schemas.openxmlformats.org/officeDocument/2006/relationships/hyperlink" Target="http://www.clientbase.ru/" TargetMode="External"/><Relationship Id="rId13" Type="http://schemas.openxmlformats.org/officeDocument/2006/relationships/hyperlink" Target="https://clientbase.ru/" TargetMode="External"/><Relationship Id="rId12" Type="http://schemas.openxmlformats.org/officeDocument/2006/relationships/hyperlink" Target="https://clientbase.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lientbase.ru/" TargetMode="External"/><Relationship Id="rId15" Type="http://schemas.openxmlformats.org/officeDocument/2006/relationships/hyperlink" Target="https://clientbase.ru/" TargetMode="External"/><Relationship Id="rId14" Type="http://schemas.openxmlformats.org/officeDocument/2006/relationships/hyperlink" Target="https://clientbase.ru/" TargetMode="External"/><Relationship Id="rId5" Type="http://schemas.openxmlformats.org/officeDocument/2006/relationships/styles" Target="styles.xml"/><Relationship Id="rId6" Type="http://schemas.openxmlformats.org/officeDocument/2006/relationships/hyperlink" Target="https://clientbase.ru/buy/dogovor/" TargetMode="External"/><Relationship Id="rId7" Type="http://schemas.openxmlformats.org/officeDocument/2006/relationships/hyperlink" Target="http://www.clientbase.ru/" TargetMode="External"/><Relationship Id="rId8" Type="http://schemas.openxmlformats.org/officeDocument/2006/relationships/hyperlink" Target="https://clientbase.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2024-01-23T00:00:00Z</vt:lpwstr>
  </property>
  <property fmtid="{D5CDD505-2E9C-101B-9397-08002B2CF9AE}" pid="3" name="Creator">
    <vt:lpwstr>Writer</vt:lpwstr>
  </property>
  <property fmtid="{D5CDD505-2E9C-101B-9397-08002B2CF9AE}" pid="4" name="Producer">
    <vt:lpwstr>LibreOffice 6.3</vt:lpwstr>
  </property>
  <property fmtid="{D5CDD505-2E9C-101B-9397-08002B2CF9AE}" pid="5" name="LastSaved">
    <vt:lpwstr>2024-01-23T00:00:00Z</vt:lpwstr>
  </property>
</Properties>
</file>